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E269" w14:textId="161B59CD" w:rsidR="001A1953" w:rsidRPr="00D320AB" w:rsidRDefault="00D320AB">
      <w:pPr>
        <w:rPr>
          <w:b/>
          <w:bCs/>
          <w:sz w:val="24"/>
          <w:szCs w:val="24"/>
        </w:rPr>
      </w:pPr>
      <w:r w:rsidRPr="00D320AB">
        <w:rPr>
          <w:b/>
          <w:bCs/>
          <w:sz w:val="24"/>
          <w:szCs w:val="24"/>
        </w:rPr>
        <w:t>Vaststellen van Huishoudelijk Reglement Afdeling Noord</w:t>
      </w:r>
    </w:p>
    <w:p w14:paraId="5ECD7E89" w14:textId="77777777" w:rsidR="00D320AB" w:rsidRDefault="00D320AB"/>
    <w:p w14:paraId="12D1944B" w14:textId="77772F66" w:rsidR="00D320AB" w:rsidRPr="00D320AB" w:rsidRDefault="00D320AB">
      <w:pPr>
        <w:rPr>
          <w:i/>
          <w:iCs/>
        </w:rPr>
      </w:pPr>
      <w:r w:rsidRPr="00D320AB">
        <w:rPr>
          <w:i/>
          <w:iCs/>
        </w:rPr>
        <w:t>Op 24-2-2026 ging Afdeling 10 akkoord met een versie van het Huishoudelijk Reglement voor Afdeling Noord met daarin de artikelen 32 en 33, die een samenhang met elkaar hebben en daarom hieronder worden vermeld.</w:t>
      </w:r>
    </w:p>
    <w:p w14:paraId="4A761C19" w14:textId="77777777" w:rsidR="00D320AB" w:rsidRDefault="00D320AB"/>
    <w:p w14:paraId="100911D2" w14:textId="77777777" w:rsidR="00D320AB" w:rsidRPr="008C4681" w:rsidRDefault="00D320AB" w:rsidP="00D320AB">
      <w:pPr>
        <w:pStyle w:val="Kop2"/>
        <w:tabs>
          <w:tab w:val="left" w:pos="1535"/>
        </w:tabs>
        <w:rPr>
          <w:rFonts w:asciiTheme="minorHAnsi" w:hAnsiTheme="minorHAnsi" w:cstheme="minorHAnsi"/>
          <w:b/>
          <w:sz w:val="22"/>
          <w:szCs w:val="22"/>
        </w:rPr>
      </w:pPr>
      <w:r>
        <w:rPr>
          <w:color w:val="006FC0"/>
          <w:spacing w:val="-2"/>
        </w:rPr>
        <w:t>Artikel</w:t>
      </w:r>
      <w:r>
        <w:rPr>
          <w:color w:val="006FC0"/>
          <w:spacing w:val="-1"/>
        </w:rPr>
        <w:t xml:space="preserve"> 32</w:t>
      </w:r>
      <w:r>
        <w:rPr>
          <w:color w:val="006FC0"/>
        </w:rPr>
        <w:tab/>
        <w:t>Aankomstgebieden</w:t>
      </w:r>
    </w:p>
    <w:p w14:paraId="46FD6FD8" w14:textId="77777777" w:rsidR="00D320AB" w:rsidRPr="008C4681" w:rsidRDefault="00D320AB" w:rsidP="00D320AB">
      <w:pPr>
        <w:pStyle w:val="Lijstalinea"/>
        <w:numPr>
          <w:ilvl w:val="0"/>
          <w:numId w:val="1"/>
        </w:numPr>
        <w:spacing w:line="267" w:lineRule="exact"/>
        <w:ind w:left="357" w:hanging="357"/>
        <w:contextualSpacing w:val="0"/>
        <w:rPr>
          <w:rFonts w:asciiTheme="minorHAnsi" w:hAnsiTheme="minorHAnsi" w:cstheme="minorHAnsi"/>
        </w:rPr>
      </w:pPr>
      <w:r w:rsidRPr="008C4681">
        <w:rPr>
          <w:rFonts w:asciiTheme="minorHAnsi" w:hAnsiTheme="minorHAnsi" w:cstheme="minorHAnsi"/>
        </w:rPr>
        <w:t>De Afdeling wordt onderverdeeld voor vluchten in het vliegprogramma met 1 nacht mand verdeeld in twee Aankomstgebieden: het voormalig werkgebied van afdeling 11, genaamd West en het voormalig werkgebied van afdeling 10, genaamd Oost. Hiervoor worden de losplaatsen gekozen op de daarvoor vastgestelde vlieglijn.</w:t>
      </w:r>
    </w:p>
    <w:p w14:paraId="03B8810C" w14:textId="77777777" w:rsidR="00D320AB" w:rsidRPr="008C4681" w:rsidRDefault="00D320AB" w:rsidP="00D320AB">
      <w:pPr>
        <w:pStyle w:val="Lijstalinea"/>
        <w:numPr>
          <w:ilvl w:val="0"/>
          <w:numId w:val="1"/>
        </w:numPr>
        <w:spacing w:line="267" w:lineRule="exact"/>
        <w:ind w:left="357" w:hanging="357"/>
        <w:contextualSpacing w:val="0"/>
        <w:rPr>
          <w:rFonts w:asciiTheme="minorHAnsi" w:hAnsiTheme="minorHAnsi" w:cstheme="minorHAnsi"/>
        </w:rPr>
      </w:pPr>
      <w:r w:rsidRPr="008C4681">
        <w:rPr>
          <w:rFonts w:asciiTheme="minorHAnsi" w:hAnsiTheme="minorHAnsi" w:cstheme="minorHAnsi"/>
        </w:rPr>
        <w:t xml:space="preserve">De indeling van Basisverenigingen in Aankomstgebieden geschiedt door Bestuur Afdeling. </w:t>
      </w:r>
    </w:p>
    <w:p w14:paraId="583B5916" w14:textId="77777777" w:rsidR="00D320AB" w:rsidRPr="008C4681" w:rsidRDefault="00D320AB" w:rsidP="00D320AB">
      <w:pPr>
        <w:pStyle w:val="Lijstalinea"/>
        <w:numPr>
          <w:ilvl w:val="0"/>
          <w:numId w:val="1"/>
        </w:numPr>
        <w:spacing w:line="267" w:lineRule="exact"/>
        <w:ind w:left="357" w:hanging="357"/>
        <w:contextualSpacing w:val="0"/>
        <w:rPr>
          <w:rFonts w:asciiTheme="minorHAnsi" w:hAnsiTheme="minorHAnsi" w:cstheme="minorHAnsi"/>
        </w:rPr>
      </w:pPr>
      <w:r w:rsidRPr="008C4681">
        <w:rPr>
          <w:rFonts w:asciiTheme="minorHAnsi" w:hAnsiTheme="minorHAnsi" w:cstheme="minorHAnsi"/>
        </w:rPr>
        <w:t xml:space="preserve">Het aantal Aankomstgebieden en de grenzen daarvan worden vastgesteld door Bestuur Afdeling. </w:t>
      </w:r>
    </w:p>
    <w:p w14:paraId="77D595E1" w14:textId="77777777" w:rsidR="00D320AB" w:rsidRPr="007350D2" w:rsidRDefault="00D320AB" w:rsidP="00D320AB">
      <w:pPr>
        <w:ind w:right="1450"/>
        <w:rPr>
          <w:rFonts w:asciiTheme="minorHAnsi" w:hAnsiTheme="minorHAnsi" w:cstheme="minorHAnsi"/>
          <w:bCs/>
          <w:spacing w:val="-2"/>
          <w:u w:val="thick" w:color="3E3E3E"/>
        </w:rPr>
      </w:pPr>
    </w:p>
    <w:p w14:paraId="57E3C05D" w14:textId="77777777" w:rsidR="00D320AB" w:rsidRPr="008C4681" w:rsidRDefault="00D320AB" w:rsidP="00D320AB">
      <w:pPr>
        <w:pStyle w:val="Kop2"/>
        <w:tabs>
          <w:tab w:val="left" w:pos="1535"/>
        </w:tabs>
        <w:rPr>
          <w:rFonts w:asciiTheme="minorHAnsi" w:hAnsiTheme="minorHAnsi" w:cstheme="minorHAnsi"/>
          <w:b/>
          <w:sz w:val="22"/>
          <w:szCs w:val="22"/>
        </w:rPr>
      </w:pPr>
      <w:r>
        <w:rPr>
          <w:color w:val="006FC0"/>
          <w:spacing w:val="-2"/>
        </w:rPr>
        <w:t>Artikel</w:t>
      </w:r>
      <w:r>
        <w:rPr>
          <w:color w:val="006FC0"/>
          <w:spacing w:val="-1"/>
        </w:rPr>
        <w:t xml:space="preserve"> 33</w:t>
      </w:r>
      <w:r>
        <w:rPr>
          <w:color w:val="006FC0"/>
        </w:rPr>
        <w:tab/>
        <w:t>Vlieglijnen</w:t>
      </w:r>
    </w:p>
    <w:p w14:paraId="575791B7" w14:textId="77777777" w:rsidR="00D320AB" w:rsidRPr="00536ECC" w:rsidRDefault="00D320AB" w:rsidP="00D320AB">
      <w:pPr>
        <w:pStyle w:val="Plattetekst"/>
        <w:numPr>
          <w:ilvl w:val="0"/>
          <w:numId w:val="2"/>
        </w:numPr>
        <w:spacing w:line="267" w:lineRule="exact"/>
        <w:ind w:left="357" w:hanging="357"/>
        <w:rPr>
          <w:rFonts w:asciiTheme="minorHAnsi" w:hAnsiTheme="minorHAnsi" w:cstheme="minorHAnsi"/>
          <w:w w:val="105"/>
        </w:rPr>
      </w:pPr>
      <w:r w:rsidRPr="00536ECC">
        <w:rPr>
          <w:rFonts w:asciiTheme="minorHAnsi" w:hAnsiTheme="minorHAnsi" w:cstheme="minorHAnsi"/>
          <w:w w:val="105"/>
        </w:rPr>
        <w:t xml:space="preserve">Ledenraad afdeling bepaalt de uitgangspunten voor het vaststellen van de </w:t>
      </w:r>
      <w:r>
        <w:rPr>
          <w:rFonts w:asciiTheme="minorHAnsi" w:hAnsiTheme="minorHAnsi" w:cstheme="minorHAnsi"/>
          <w:w w:val="105"/>
        </w:rPr>
        <w:t>V</w:t>
      </w:r>
      <w:r w:rsidRPr="00536ECC">
        <w:rPr>
          <w:rFonts w:asciiTheme="minorHAnsi" w:hAnsiTheme="minorHAnsi" w:cstheme="minorHAnsi"/>
          <w:w w:val="105"/>
        </w:rPr>
        <w:t>lieglijn</w:t>
      </w:r>
      <w:r>
        <w:rPr>
          <w:rFonts w:asciiTheme="minorHAnsi" w:hAnsiTheme="minorHAnsi" w:cstheme="minorHAnsi"/>
          <w:w w:val="105"/>
        </w:rPr>
        <w:t>en</w:t>
      </w:r>
      <w:r>
        <w:rPr>
          <w:rFonts w:asciiTheme="minorHAnsi" w:hAnsiTheme="minorHAnsi" w:cstheme="minorHAnsi"/>
          <w:w w:val="105"/>
        </w:rPr>
        <w:br/>
      </w:r>
      <w:r w:rsidRPr="00536ECC">
        <w:rPr>
          <w:rFonts w:asciiTheme="minorHAnsi" w:hAnsiTheme="minorHAnsi" w:cstheme="minorHAnsi"/>
          <w:w w:val="105"/>
        </w:rPr>
        <w:t>Wijziging</w:t>
      </w:r>
      <w:r w:rsidRPr="00536ECC">
        <w:rPr>
          <w:rFonts w:asciiTheme="minorHAnsi" w:hAnsiTheme="minorHAnsi" w:cstheme="minorHAnsi"/>
          <w:spacing w:val="-1"/>
          <w:w w:val="105"/>
        </w:rPr>
        <w:t xml:space="preserve"> </w:t>
      </w:r>
      <w:r w:rsidRPr="00536ECC">
        <w:rPr>
          <w:rFonts w:asciiTheme="minorHAnsi" w:hAnsiTheme="minorHAnsi" w:cstheme="minorHAnsi"/>
          <w:w w:val="105"/>
        </w:rPr>
        <w:t>van</w:t>
      </w:r>
      <w:r w:rsidRPr="00536ECC">
        <w:rPr>
          <w:rFonts w:asciiTheme="minorHAnsi" w:hAnsiTheme="minorHAnsi" w:cstheme="minorHAnsi"/>
          <w:spacing w:val="-14"/>
          <w:w w:val="105"/>
        </w:rPr>
        <w:t xml:space="preserve"> </w:t>
      </w:r>
      <w:r w:rsidRPr="00536ECC">
        <w:rPr>
          <w:rFonts w:asciiTheme="minorHAnsi" w:hAnsiTheme="minorHAnsi" w:cstheme="minorHAnsi"/>
          <w:w w:val="105"/>
        </w:rPr>
        <w:t>de</w:t>
      </w:r>
      <w:r w:rsidRPr="00536ECC">
        <w:rPr>
          <w:rFonts w:asciiTheme="minorHAnsi" w:hAnsiTheme="minorHAnsi" w:cstheme="minorHAnsi"/>
          <w:spacing w:val="-13"/>
          <w:w w:val="105"/>
        </w:rPr>
        <w:t xml:space="preserve"> </w:t>
      </w:r>
      <w:r>
        <w:rPr>
          <w:rFonts w:asciiTheme="minorHAnsi" w:hAnsiTheme="minorHAnsi" w:cstheme="minorHAnsi"/>
          <w:spacing w:val="-13"/>
          <w:w w:val="105"/>
        </w:rPr>
        <w:t>V</w:t>
      </w:r>
      <w:r w:rsidRPr="00536ECC">
        <w:rPr>
          <w:rFonts w:asciiTheme="minorHAnsi" w:hAnsiTheme="minorHAnsi" w:cstheme="minorHAnsi"/>
          <w:w w:val="105"/>
        </w:rPr>
        <w:t>lieglijn</w:t>
      </w:r>
      <w:r>
        <w:rPr>
          <w:rFonts w:asciiTheme="minorHAnsi" w:hAnsiTheme="minorHAnsi" w:cstheme="minorHAnsi"/>
          <w:w w:val="105"/>
        </w:rPr>
        <w:t>en</w:t>
      </w:r>
      <w:r w:rsidRPr="00536ECC">
        <w:rPr>
          <w:rFonts w:asciiTheme="minorHAnsi" w:hAnsiTheme="minorHAnsi" w:cstheme="minorHAnsi"/>
          <w:spacing w:val="-6"/>
          <w:w w:val="105"/>
        </w:rPr>
        <w:t xml:space="preserve"> </w:t>
      </w:r>
      <w:r w:rsidRPr="00536ECC">
        <w:rPr>
          <w:rFonts w:asciiTheme="minorHAnsi" w:hAnsiTheme="minorHAnsi" w:cstheme="minorHAnsi"/>
          <w:w w:val="105"/>
        </w:rPr>
        <w:t>kan</w:t>
      </w:r>
      <w:r w:rsidRPr="00536ECC">
        <w:rPr>
          <w:rFonts w:asciiTheme="minorHAnsi" w:hAnsiTheme="minorHAnsi" w:cstheme="minorHAnsi"/>
          <w:spacing w:val="-14"/>
          <w:w w:val="105"/>
        </w:rPr>
        <w:t xml:space="preserve"> </w:t>
      </w:r>
      <w:r w:rsidRPr="00536ECC">
        <w:rPr>
          <w:rFonts w:asciiTheme="minorHAnsi" w:hAnsiTheme="minorHAnsi" w:cstheme="minorHAnsi"/>
          <w:w w:val="105"/>
        </w:rPr>
        <w:t>alleen</w:t>
      </w:r>
      <w:r w:rsidRPr="00536ECC">
        <w:rPr>
          <w:rFonts w:asciiTheme="minorHAnsi" w:hAnsiTheme="minorHAnsi" w:cstheme="minorHAnsi"/>
          <w:spacing w:val="-6"/>
          <w:w w:val="105"/>
        </w:rPr>
        <w:t xml:space="preserve"> </w:t>
      </w:r>
      <w:r w:rsidRPr="00536ECC">
        <w:rPr>
          <w:rFonts w:asciiTheme="minorHAnsi" w:hAnsiTheme="minorHAnsi" w:cstheme="minorHAnsi"/>
          <w:w w:val="105"/>
        </w:rPr>
        <w:t>geschieden</w:t>
      </w:r>
      <w:r w:rsidRPr="00536ECC">
        <w:rPr>
          <w:rFonts w:asciiTheme="minorHAnsi" w:hAnsiTheme="minorHAnsi" w:cstheme="minorHAnsi"/>
          <w:spacing w:val="-3"/>
          <w:w w:val="105"/>
        </w:rPr>
        <w:t xml:space="preserve"> </w:t>
      </w:r>
      <w:r w:rsidRPr="00536ECC">
        <w:rPr>
          <w:rFonts w:asciiTheme="minorHAnsi" w:hAnsiTheme="minorHAnsi" w:cstheme="minorHAnsi"/>
          <w:w w:val="105"/>
        </w:rPr>
        <w:t>door</w:t>
      </w:r>
      <w:r w:rsidRPr="00536ECC">
        <w:rPr>
          <w:rFonts w:asciiTheme="minorHAnsi" w:hAnsiTheme="minorHAnsi" w:cstheme="minorHAnsi"/>
          <w:spacing w:val="-8"/>
          <w:w w:val="105"/>
        </w:rPr>
        <w:t xml:space="preserve"> </w:t>
      </w:r>
      <w:r w:rsidRPr="00536ECC">
        <w:rPr>
          <w:rFonts w:asciiTheme="minorHAnsi" w:hAnsiTheme="minorHAnsi" w:cstheme="minorHAnsi"/>
          <w:w w:val="105"/>
        </w:rPr>
        <w:t>de</w:t>
      </w:r>
      <w:r w:rsidRPr="00536ECC">
        <w:rPr>
          <w:rFonts w:asciiTheme="minorHAnsi" w:hAnsiTheme="minorHAnsi" w:cstheme="minorHAnsi"/>
          <w:spacing w:val="-7"/>
          <w:w w:val="105"/>
        </w:rPr>
        <w:t xml:space="preserve"> </w:t>
      </w:r>
      <w:r w:rsidRPr="00536ECC">
        <w:rPr>
          <w:rFonts w:asciiTheme="minorHAnsi" w:hAnsiTheme="minorHAnsi" w:cstheme="minorHAnsi"/>
          <w:w w:val="105"/>
        </w:rPr>
        <w:t xml:space="preserve">Ledenraad </w:t>
      </w:r>
      <w:r w:rsidRPr="00536ECC">
        <w:rPr>
          <w:rFonts w:asciiTheme="minorHAnsi" w:hAnsiTheme="minorHAnsi" w:cstheme="minorHAnsi"/>
        </w:rPr>
        <w:t>Afdeling met een gekwalificeerde meerderheid van stemmen, zijnde 2/3</w:t>
      </w:r>
      <w:r w:rsidRPr="00536ECC">
        <w:rPr>
          <w:rFonts w:asciiTheme="minorHAnsi" w:hAnsiTheme="minorHAnsi" w:cstheme="minorHAnsi"/>
          <w:spacing w:val="-1"/>
        </w:rPr>
        <w:t xml:space="preserve"> </w:t>
      </w:r>
      <w:r w:rsidRPr="00536ECC">
        <w:rPr>
          <w:rFonts w:asciiTheme="minorHAnsi" w:hAnsiTheme="minorHAnsi" w:cstheme="minorHAnsi"/>
        </w:rPr>
        <w:t xml:space="preserve">van het aantal </w:t>
      </w:r>
      <w:r w:rsidRPr="00536ECC">
        <w:rPr>
          <w:rFonts w:asciiTheme="minorHAnsi" w:hAnsiTheme="minorHAnsi" w:cstheme="minorHAnsi"/>
          <w:w w:val="105"/>
        </w:rPr>
        <w:t>aangesloten Basisleden.</w:t>
      </w:r>
    </w:p>
    <w:p w14:paraId="557E02D4" w14:textId="77777777" w:rsidR="00D320AB" w:rsidRPr="008C4681" w:rsidRDefault="00D320AB" w:rsidP="00D320AB">
      <w:pPr>
        <w:pStyle w:val="Plattetekst"/>
        <w:numPr>
          <w:ilvl w:val="0"/>
          <w:numId w:val="2"/>
        </w:numPr>
        <w:spacing w:line="267" w:lineRule="exact"/>
        <w:ind w:left="357" w:hanging="357"/>
        <w:rPr>
          <w:rFonts w:asciiTheme="minorHAnsi" w:hAnsiTheme="minorHAnsi" w:cstheme="minorHAnsi"/>
          <w:w w:val="105"/>
        </w:rPr>
      </w:pPr>
      <w:r w:rsidRPr="008C4681">
        <w:rPr>
          <w:rFonts w:asciiTheme="minorHAnsi" w:hAnsiTheme="minorHAnsi" w:cstheme="minorHAnsi"/>
          <w:w w:val="105"/>
        </w:rPr>
        <w:t xml:space="preserve">Voor </w:t>
      </w:r>
      <w:r>
        <w:rPr>
          <w:rFonts w:asciiTheme="minorHAnsi" w:hAnsiTheme="minorHAnsi" w:cstheme="minorHAnsi"/>
          <w:w w:val="105"/>
        </w:rPr>
        <w:t>een</w:t>
      </w:r>
      <w:r w:rsidRPr="008C4681">
        <w:rPr>
          <w:rFonts w:asciiTheme="minorHAnsi" w:hAnsiTheme="minorHAnsi" w:cstheme="minorHAnsi"/>
          <w:w w:val="105"/>
        </w:rPr>
        <w:t xml:space="preserve"> </w:t>
      </w:r>
      <w:r>
        <w:rPr>
          <w:rFonts w:asciiTheme="minorHAnsi" w:hAnsiTheme="minorHAnsi" w:cstheme="minorHAnsi"/>
          <w:w w:val="105"/>
        </w:rPr>
        <w:t>V</w:t>
      </w:r>
      <w:r w:rsidRPr="008C4681">
        <w:rPr>
          <w:rFonts w:asciiTheme="minorHAnsi" w:hAnsiTheme="minorHAnsi" w:cstheme="minorHAnsi"/>
          <w:w w:val="105"/>
        </w:rPr>
        <w:t xml:space="preserve">lieglijn geldt het hart van het </w:t>
      </w:r>
      <w:r>
        <w:rPr>
          <w:rFonts w:asciiTheme="minorHAnsi" w:hAnsiTheme="minorHAnsi" w:cstheme="minorHAnsi"/>
          <w:w w:val="105"/>
        </w:rPr>
        <w:t>Aankomstgebied (West of Oost) als Aankomstpunt</w:t>
      </w:r>
      <w:r w:rsidRPr="008C4681">
        <w:rPr>
          <w:rFonts w:asciiTheme="minorHAnsi" w:hAnsiTheme="minorHAnsi" w:cstheme="minorHAnsi"/>
          <w:w w:val="105"/>
        </w:rPr>
        <w:t xml:space="preserve">; </w:t>
      </w:r>
    </w:p>
    <w:p w14:paraId="5E3F67B0" w14:textId="77777777" w:rsidR="00D320AB" w:rsidRPr="008C4681" w:rsidRDefault="00D320AB" w:rsidP="00D320AB">
      <w:pPr>
        <w:pStyle w:val="Plattetekst"/>
        <w:numPr>
          <w:ilvl w:val="0"/>
          <w:numId w:val="2"/>
        </w:numPr>
        <w:spacing w:line="267" w:lineRule="exact"/>
        <w:ind w:left="357" w:hanging="357"/>
        <w:rPr>
          <w:rFonts w:asciiTheme="minorHAnsi" w:hAnsiTheme="minorHAnsi" w:cstheme="minorHAnsi"/>
          <w:w w:val="105"/>
        </w:rPr>
      </w:pPr>
      <w:r w:rsidRPr="008C4681">
        <w:rPr>
          <w:rFonts w:asciiTheme="minorHAnsi" w:hAnsiTheme="minorHAnsi" w:cstheme="minorHAnsi"/>
          <w:w w:val="105"/>
        </w:rPr>
        <w:t xml:space="preserve">Voor vluchten met meer dan 1 nacht mand, geldt voor de </w:t>
      </w:r>
      <w:r>
        <w:rPr>
          <w:rFonts w:asciiTheme="minorHAnsi" w:hAnsiTheme="minorHAnsi" w:cstheme="minorHAnsi"/>
          <w:w w:val="105"/>
        </w:rPr>
        <w:t>V</w:t>
      </w:r>
      <w:r w:rsidRPr="008C4681">
        <w:rPr>
          <w:rFonts w:asciiTheme="minorHAnsi" w:hAnsiTheme="minorHAnsi" w:cstheme="minorHAnsi"/>
          <w:w w:val="105"/>
        </w:rPr>
        <w:t xml:space="preserve">lieglijn het hart van de Afdeling als </w:t>
      </w:r>
      <w:r>
        <w:rPr>
          <w:rFonts w:asciiTheme="minorHAnsi" w:hAnsiTheme="minorHAnsi" w:cstheme="minorHAnsi"/>
          <w:w w:val="105"/>
        </w:rPr>
        <w:t>Aankomstpunt</w:t>
      </w:r>
      <w:r w:rsidRPr="008C4681">
        <w:rPr>
          <w:rFonts w:asciiTheme="minorHAnsi" w:hAnsiTheme="minorHAnsi" w:cstheme="minorHAnsi"/>
          <w:w w:val="105"/>
        </w:rPr>
        <w:t xml:space="preserve">; </w:t>
      </w:r>
    </w:p>
    <w:p w14:paraId="736BF7A9" w14:textId="77777777" w:rsidR="00D320AB" w:rsidRDefault="00D320AB"/>
    <w:p w14:paraId="31B4B64D" w14:textId="48D0A61E" w:rsidR="00D320AB" w:rsidRPr="00D320AB" w:rsidRDefault="00D320AB">
      <w:pPr>
        <w:rPr>
          <w:i/>
          <w:iCs/>
        </w:rPr>
      </w:pPr>
      <w:r w:rsidRPr="00D320AB">
        <w:rPr>
          <w:i/>
          <w:iCs/>
        </w:rPr>
        <w:t xml:space="preserve">Op 24-2-2026 amendeerde Afdeling 11 </w:t>
      </w:r>
      <w:r>
        <w:rPr>
          <w:i/>
          <w:iCs/>
        </w:rPr>
        <w:t>A</w:t>
      </w:r>
      <w:r w:rsidRPr="00D320AB">
        <w:rPr>
          <w:i/>
          <w:iCs/>
        </w:rPr>
        <w:t>rtikel 32 van het Huishoudelijk Reglement Afdeling Noord. Artikel 32 luidt dan:</w:t>
      </w:r>
    </w:p>
    <w:p w14:paraId="59FF3A5B" w14:textId="77777777" w:rsidR="00D320AB" w:rsidRDefault="00D320AB"/>
    <w:p w14:paraId="03E19047" w14:textId="77777777" w:rsidR="00D320AB" w:rsidRPr="008C4681" w:rsidRDefault="00D320AB" w:rsidP="00D320AB">
      <w:pPr>
        <w:pStyle w:val="Kop2"/>
        <w:tabs>
          <w:tab w:val="left" w:pos="1535"/>
        </w:tabs>
        <w:rPr>
          <w:rFonts w:asciiTheme="minorHAnsi" w:hAnsiTheme="minorHAnsi" w:cstheme="minorHAnsi"/>
          <w:b/>
          <w:sz w:val="22"/>
          <w:szCs w:val="22"/>
        </w:rPr>
      </w:pPr>
      <w:r>
        <w:rPr>
          <w:color w:val="006FC0"/>
          <w:spacing w:val="-2"/>
        </w:rPr>
        <w:t>Artikel</w:t>
      </w:r>
      <w:r>
        <w:rPr>
          <w:color w:val="006FC0"/>
          <w:spacing w:val="-1"/>
        </w:rPr>
        <w:t xml:space="preserve"> 32</w:t>
      </w:r>
      <w:r>
        <w:rPr>
          <w:color w:val="006FC0"/>
        </w:rPr>
        <w:tab/>
        <w:t>Aankomstgebieden</w:t>
      </w:r>
    </w:p>
    <w:p w14:paraId="485513D3" w14:textId="77777777" w:rsidR="00D320AB" w:rsidRDefault="00D320AB" w:rsidP="00D320AB">
      <w:pPr>
        <w:pStyle w:val="Lijstalinea"/>
        <w:numPr>
          <w:ilvl w:val="0"/>
          <w:numId w:val="4"/>
        </w:numPr>
        <w:spacing w:line="267" w:lineRule="exact"/>
        <w:ind w:left="357" w:hanging="357"/>
        <w:contextualSpacing w:val="0"/>
        <w:rPr>
          <w:rFonts w:asciiTheme="minorHAnsi" w:hAnsiTheme="minorHAnsi" w:cstheme="minorHAnsi"/>
        </w:rPr>
      </w:pPr>
      <w:r w:rsidRPr="00D320AB">
        <w:rPr>
          <w:rFonts w:asciiTheme="minorHAnsi" w:hAnsiTheme="minorHAnsi" w:cstheme="minorHAnsi"/>
        </w:rPr>
        <w:t>De Afdeling wordt onderverdeeld voor vluchten in het vliegprogramma met 1 nacht mand verdeeld in twee Aankomstgebieden: het voormalig werkgebied van afdeling 11, genaamd West en het voormalig werkgebied van afdeling 10, genaamd Oost. Hiervoor worden de losplaatsen gekozen op de daarvoor vastgestelde vlieglijn.</w:t>
      </w:r>
    </w:p>
    <w:p w14:paraId="6F4CF80F" w14:textId="0664C001" w:rsidR="00D320AB" w:rsidRPr="00D320AB" w:rsidRDefault="00D320AB" w:rsidP="00D320AB">
      <w:pPr>
        <w:pStyle w:val="Lijstalinea"/>
        <w:numPr>
          <w:ilvl w:val="0"/>
          <w:numId w:val="4"/>
        </w:numPr>
        <w:spacing w:line="267" w:lineRule="exact"/>
        <w:ind w:left="357" w:hanging="357"/>
        <w:contextualSpacing w:val="0"/>
        <w:rPr>
          <w:rFonts w:asciiTheme="minorHAnsi" w:hAnsiTheme="minorHAnsi" w:cstheme="minorHAnsi"/>
          <w:highlight w:val="yellow"/>
        </w:rPr>
      </w:pPr>
      <w:r w:rsidRPr="00D320AB">
        <w:rPr>
          <w:rFonts w:asciiTheme="minorHAnsi" w:hAnsiTheme="minorHAnsi" w:cstheme="minorHAnsi"/>
          <w:highlight w:val="yellow"/>
        </w:rPr>
        <w:t>Wijziging van de indeling Basisvereniging in aankomstgebieden kan</w:t>
      </w:r>
      <w:r w:rsidRPr="00D320AB">
        <w:rPr>
          <w:rFonts w:asciiTheme="minorHAnsi" w:hAnsiTheme="minorHAnsi" w:cstheme="minorHAnsi"/>
          <w:highlight w:val="yellow"/>
        </w:rPr>
        <w:t xml:space="preserve"> </w:t>
      </w:r>
      <w:r w:rsidRPr="00D320AB">
        <w:rPr>
          <w:rFonts w:asciiTheme="minorHAnsi" w:hAnsiTheme="minorHAnsi" w:cstheme="minorHAnsi"/>
          <w:highlight w:val="yellow"/>
        </w:rPr>
        <w:t xml:space="preserve">alleen geschieden door de </w:t>
      </w:r>
      <w:r w:rsidRPr="00D320AB">
        <w:rPr>
          <w:rFonts w:asciiTheme="minorHAnsi" w:hAnsiTheme="minorHAnsi" w:cstheme="minorHAnsi"/>
          <w:highlight w:val="yellow"/>
        </w:rPr>
        <w:t>L</w:t>
      </w:r>
      <w:r w:rsidRPr="00D320AB">
        <w:rPr>
          <w:rFonts w:asciiTheme="minorHAnsi" w:hAnsiTheme="minorHAnsi" w:cstheme="minorHAnsi"/>
          <w:highlight w:val="yellow"/>
        </w:rPr>
        <w:t>edenraad met een gekwalificeerde meerderheid</w:t>
      </w:r>
      <w:r w:rsidRPr="00D320AB">
        <w:rPr>
          <w:rFonts w:asciiTheme="minorHAnsi" w:hAnsiTheme="minorHAnsi" w:cstheme="minorHAnsi"/>
          <w:highlight w:val="yellow"/>
        </w:rPr>
        <w:t xml:space="preserve"> </w:t>
      </w:r>
      <w:r w:rsidRPr="00D320AB">
        <w:rPr>
          <w:rFonts w:asciiTheme="minorHAnsi" w:hAnsiTheme="minorHAnsi" w:cstheme="minorHAnsi"/>
          <w:highlight w:val="yellow"/>
        </w:rPr>
        <w:t>van stemmen, zijnde 2/3 van het aantal aangesloten Basisleden.</w:t>
      </w:r>
    </w:p>
    <w:p w14:paraId="76D557A6" w14:textId="61DA72A3" w:rsidR="00D320AB" w:rsidRPr="00D320AB" w:rsidRDefault="00D320AB" w:rsidP="00D320AB">
      <w:pPr>
        <w:pStyle w:val="Lijstalinea"/>
        <w:numPr>
          <w:ilvl w:val="0"/>
          <w:numId w:val="4"/>
        </w:numPr>
        <w:spacing w:line="267" w:lineRule="exact"/>
        <w:ind w:left="357" w:hanging="357"/>
        <w:contextualSpacing w:val="0"/>
        <w:rPr>
          <w:rFonts w:asciiTheme="minorHAnsi" w:hAnsiTheme="minorHAnsi" w:cstheme="minorHAnsi"/>
        </w:rPr>
      </w:pPr>
      <w:r w:rsidRPr="00D320AB">
        <w:rPr>
          <w:rFonts w:asciiTheme="minorHAnsi" w:hAnsiTheme="minorHAnsi" w:cstheme="minorHAnsi"/>
          <w:highlight w:val="yellow"/>
        </w:rPr>
        <w:t xml:space="preserve">Wijzigingen in (het aantal) </w:t>
      </w:r>
      <w:r w:rsidRPr="00D320AB">
        <w:rPr>
          <w:rFonts w:asciiTheme="minorHAnsi" w:hAnsiTheme="minorHAnsi" w:cstheme="minorHAnsi"/>
          <w:highlight w:val="yellow"/>
        </w:rPr>
        <w:t>A</w:t>
      </w:r>
      <w:r w:rsidRPr="00D320AB">
        <w:rPr>
          <w:rFonts w:asciiTheme="minorHAnsi" w:hAnsiTheme="minorHAnsi" w:cstheme="minorHAnsi"/>
          <w:highlight w:val="yellow"/>
        </w:rPr>
        <w:t>ankomstgebieden en de grenzen daarvan</w:t>
      </w:r>
      <w:r w:rsidRPr="00D320AB">
        <w:rPr>
          <w:rFonts w:asciiTheme="minorHAnsi" w:hAnsiTheme="minorHAnsi" w:cstheme="minorHAnsi"/>
          <w:highlight w:val="yellow"/>
        </w:rPr>
        <w:t xml:space="preserve"> </w:t>
      </w:r>
      <w:r w:rsidRPr="00D320AB">
        <w:rPr>
          <w:rFonts w:asciiTheme="minorHAnsi" w:hAnsiTheme="minorHAnsi" w:cstheme="minorHAnsi"/>
          <w:highlight w:val="yellow"/>
        </w:rPr>
        <w:t xml:space="preserve">kan alleen worden </w:t>
      </w:r>
      <w:r w:rsidRPr="00D320AB">
        <w:rPr>
          <w:rFonts w:asciiTheme="minorHAnsi" w:hAnsiTheme="minorHAnsi" w:cstheme="minorHAnsi"/>
          <w:highlight w:val="yellow"/>
        </w:rPr>
        <w:t>v</w:t>
      </w:r>
      <w:r w:rsidRPr="00D320AB">
        <w:rPr>
          <w:rFonts w:asciiTheme="minorHAnsi" w:hAnsiTheme="minorHAnsi" w:cstheme="minorHAnsi"/>
          <w:highlight w:val="yellow"/>
        </w:rPr>
        <w:t xml:space="preserve">astgesteld door de </w:t>
      </w:r>
      <w:r w:rsidRPr="00D320AB">
        <w:rPr>
          <w:rFonts w:asciiTheme="minorHAnsi" w:hAnsiTheme="minorHAnsi" w:cstheme="minorHAnsi"/>
          <w:highlight w:val="yellow"/>
        </w:rPr>
        <w:t>L</w:t>
      </w:r>
      <w:r w:rsidRPr="00D320AB">
        <w:rPr>
          <w:rFonts w:asciiTheme="minorHAnsi" w:hAnsiTheme="minorHAnsi" w:cstheme="minorHAnsi"/>
          <w:highlight w:val="yellow"/>
        </w:rPr>
        <w:t>edenraad met gekwalificeerde</w:t>
      </w:r>
      <w:r w:rsidRPr="00D320AB">
        <w:rPr>
          <w:rFonts w:asciiTheme="minorHAnsi" w:hAnsiTheme="minorHAnsi" w:cstheme="minorHAnsi"/>
          <w:highlight w:val="yellow"/>
        </w:rPr>
        <w:t xml:space="preserve"> </w:t>
      </w:r>
      <w:r w:rsidRPr="00D320AB">
        <w:rPr>
          <w:rFonts w:asciiTheme="minorHAnsi" w:hAnsiTheme="minorHAnsi" w:cstheme="minorHAnsi"/>
          <w:highlight w:val="yellow"/>
        </w:rPr>
        <w:t>meerderheid van stemmen, zijnde 2/3 van het aantal aangesloten Basisleden</w:t>
      </w:r>
      <w:r w:rsidRPr="00D320AB">
        <w:rPr>
          <w:rFonts w:asciiTheme="minorHAnsi" w:hAnsiTheme="minorHAnsi" w:cstheme="minorHAnsi"/>
        </w:rPr>
        <w:t xml:space="preserve">. </w:t>
      </w:r>
    </w:p>
    <w:p w14:paraId="71907369" w14:textId="77777777" w:rsidR="00D320AB" w:rsidRPr="007350D2" w:rsidRDefault="00D320AB" w:rsidP="00D320AB">
      <w:pPr>
        <w:ind w:right="1450"/>
        <w:rPr>
          <w:rFonts w:asciiTheme="minorHAnsi" w:hAnsiTheme="minorHAnsi" w:cstheme="minorHAnsi"/>
          <w:bCs/>
          <w:spacing w:val="-2"/>
          <w:u w:val="thick" w:color="3E3E3E"/>
        </w:rPr>
      </w:pPr>
    </w:p>
    <w:p w14:paraId="404D1524" w14:textId="77777777" w:rsidR="00D320AB" w:rsidRDefault="00D320AB"/>
    <w:sectPr w:rsidR="00D32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986"/>
    <w:multiLevelType w:val="hybridMultilevel"/>
    <w:tmpl w:val="31FA97AC"/>
    <w:lvl w:ilvl="0" w:tplc="6D944A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2A6F0D"/>
    <w:multiLevelType w:val="hybridMultilevel"/>
    <w:tmpl w:val="A9C2FF12"/>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7B695F"/>
    <w:multiLevelType w:val="hybridMultilevel"/>
    <w:tmpl w:val="A3ACB0B0"/>
    <w:lvl w:ilvl="0" w:tplc="A6F21B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AA0D03"/>
    <w:multiLevelType w:val="hybridMultilevel"/>
    <w:tmpl w:val="A6661246"/>
    <w:lvl w:ilvl="0" w:tplc="DD1C33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8582019">
    <w:abstractNumId w:val="0"/>
  </w:num>
  <w:num w:numId="2" w16cid:durableId="408768789">
    <w:abstractNumId w:val="2"/>
  </w:num>
  <w:num w:numId="3" w16cid:durableId="388305619">
    <w:abstractNumId w:val="3"/>
  </w:num>
  <w:num w:numId="4" w16cid:durableId="32802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AB"/>
    <w:rsid w:val="001A1953"/>
    <w:rsid w:val="002547BC"/>
    <w:rsid w:val="0026228E"/>
    <w:rsid w:val="00D320AB"/>
    <w:rsid w:val="00E30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3B21"/>
  <w15:chartTrackingRefBased/>
  <w15:docId w15:val="{2DFB34AC-C8A6-4FB2-AA7C-95FB61F2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0AB"/>
    <w:pPr>
      <w:widowControl w:val="0"/>
      <w:autoSpaceDE w:val="0"/>
      <w:autoSpaceDN w:val="0"/>
      <w:spacing w:after="0" w:line="240" w:lineRule="auto"/>
    </w:pPr>
    <w:rPr>
      <w:rFonts w:ascii="Calibri" w:eastAsia="Calibri" w:hAnsi="Calibri" w:cs="Calibri"/>
      <w:kern w:val="0"/>
      <w14:ligatures w14:val="none"/>
    </w:rPr>
  </w:style>
  <w:style w:type="paragraph" w:styleId="Kop1">
    <w:name w:val="heading 1"/>
    <w:basedOn w:val="Standaard"/>
    <w:next w:val="Standaard"/>
    <w:link w:val="Kop1Char"/>
    <w:uiPriority w:val="9"/>
    <w:qFormat/>
    <w:rsid w:val="00D32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32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20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20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20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20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0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0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0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0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320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20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20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20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20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0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0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0AB"/>
    <w:rPr>
      <w:rFonts w:eastAsiaTheme="majorEastAsia" w:cstheme="majorBidi"/>
      <w:color w:val="272727" w:themeColor="text1" w:themeTint="D8"/>
    </w:rPr>
  </w:style>
  <w:style w:type="paragraph" w:styleId="Titel">
    <w:name w:val="Title"/>
    <w:basedOn w:val="Standaard"/>
    <w:next w:val="Standaard"/>
    <w:link w:val="TitelChar"/>
    <w:uiPriority w:val="10"/>
    <w:qFormat/>
    <w:rsid w:val="00D320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0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0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0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0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0AB"/>
    <w:rPr>
      <w:i/>
      <w:iCs/>
      <w:color w:val="404040" w:themeColor="text1" w:themeTint="BF"/>
    </w:rPr>
  </w:style>
  <w:style w:type="paragraph" w:styleId="Lijstalinea">
    <w:name w:val="List Paragraph"/>
    <w:basedOn w:val="Standaard"/>
    <w:uiPriority w:val="1"/>
    <w:qFormat/>
    <w:rsid w:val="00D320AB"/>
    <w:pPr>
      <w:ind w:left="720"/>
      <w:contextualSpacing/>
    </w:pPr>
  </w:style>
  <w:style w:type="character" w:styleId="Intensievebenadrukking">
    <w:name w:val="Intense Emphasis"/>
    <w:basedOn w:val="Standaardalinea-lettertype"/>
    <w:uiPriority w:val="21"/>
    <w:qFormat/>
    <w:rsid w:val="00D320AB"/>
    <w:rPr>
      <w:i/>
      <w:iCs/>
      <w:color w:val="2F5496" w:themeColor="accent1" w:themeShade="BF"/>
    </w:rPr>
  </w:style>
  <w:style w:type="paragraph" w:styleId="Duidelijkcitaat">
    <w:name w:val="Intense Quote"/>
    <w:basedOn w:val="Standaard"/>
    <w:next w:val="Standaard"/>
    <w:link w:val="DuidelijkcitaatChar"/>
    <w:uiPriority w:val="30"/>
    <w:qFormat/>
    <w:rsid w:val="00D32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20AB"/>
    <w:rPr>
      <w:i/>
      <w:iCs/>
      <w:color w:val="2F5496" w:themeColor="accent1" w:themeShade="BF"/>
    </w:rPr>
  </w:style>
  <w:style w:type="character" w:styleId="Intensieveverwijzing">
    <w:name w:val="Intense Reference"/>
    <w:basedOn w:val="Standaardalinea-lettertype"/>
    <w:uiPriority w:val="32"/>
    <w:qFormat/>
    <w:rsid w:val="00D320AB"/>
    <w:rPr>
      <w:b/>
      <w:bCs/>
      <w:smallCaps/>
      <w:color w:val="2F5496" w:themeColor="accent1" w:themeShade="BF"/>
      <w:spacing w:val="5"/>
    </w:rPr>
  </w:style>
  <w:style w:type="paragraph" w:styleId="Plattetekst">
    <w:name w:val="Body Text"/>
    <w:basedOn w:val="Standaard"/>
    <w:link w:val="PlattetekstChar"/>
    <w:uiPriority w:val="1"/>
    <w:qFormat/>
    <w:rsid w:val="00D320AB"/>
  </w:style>
  <w:style w:type="character" w:customStyle="1" w:styleId="PlattetekstChar">
    <w:name w:val="Platte tekst Char"/>
    <w:basedOn w:val="Standaardalinea-lettertype"/>
    <w:link w:val="Plattetekst"/>
    <w:uiPriority w:val="1"/>
    <w:rsid w:val="00D320A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1818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Groot | Magno-IT</dc:creator>
  <cp:keywords/>
  <dc:description/>
  <cp:lastModifiedBy>Gerard de Groot | Magno-IT</cp:lastModifiedBy>
  <cp:revision>1</cp:revision>
  <dcterms:created xsi:type="dcterms:W3CDTF">2026-02-27T16:46:00Z</dcterms:created>
  <dcterms:modified xsi:type="dcterms:W3CDTF">2026-02-27T16:56:00Z</dcterms:modified>
</cp:coreProperties>
</file>